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AA" w:rsidRPr="007634AA" w:rsidRDefault="007634AA">
      <w:pPr>
        <w:pStyle w:val="ConsPlusNormal"/>
        <w:jc w:val="both"/>
        <w:outlineLvl w:val="0"/>
      </w:pPr>
      <w:bookmarkStart w:id="0" w:name="_GoBack"/>
      <w:bookmarkEnd w:id="0"/>
    </w:p>
    <w:p w:rsidR="007634AA" w:rsidRPr="007634AA" w:rsidRDefault="007634AA">
      <w:pPr>
        <w:pStyle w:val="ConsPlusTitle"/>
        <w:jc w:val="center"/>
        <w:outlineLvl w:val="0"/>
      </w:pPr>
      <w:r w:rsidRPr="007634AA">
        <w:t>ПРАВИТЕЛЬСТВО РОССИЙСКОЙ ФЕДЕРАЦИИ</w:t>
      </w:r>
    </w:p>
    <w:p w:rsidR="007634AA" w:rsidRPr="007634AA" w:rsidRDefault="007634AA">
      <w:pPr>
        <w:pStyle w:val="ConsPlusTitle"/>
        <w:jc w:val="center"/>
      </w:pPr>
    </w:p>
    <w:p w:rsidR="007634AA" w:rsidRPr="007634AA" w:rsidRDefault="007634AA">
      <w:pPr>
        <w:pStyle w:val="ConsPlusTitle"/>
        <w:jc w:val="center"/>
      </w:pPr>
      <w:r w:rsidRPr="007634AA">
        <w:t>ПОСТАНОВЛЕНИЕ</w:t>
      </w:r>
    </w:p>
    <w:p w:rsidR="007634AA" w:rsidRPr="007634AA" w:rsidRDefault="007634AA">
      <w:pPr>
        <w:pStyle w:val="ConsPlusTitle"/>
        <w:jc w:val="center"/>
      </w:pPr>
      <w:r w:rsidRPr="007634AA">
        <w:t>от 6 мая 2024 г. N 590</w:t>
      </w:r>
    </w:p>
    <w:p w:rsidR="007634AA" w:rsidRPr="007634AA" w:rsidRDefault="007634AA">
      <w:pPr>
        <w:pStyle w:val="ConsPlusTitle"/>
        <w:jc w:val="center"/>
      </w:pPr>
    </w:p>
    <w:p w:rsidR="007634AA" w:rsidRPr="007634AA" w:rsidRDefault="007634AA">
      <w:pPr>
        <w:pStyle w:val="ConsPlusTitle"/>
        <w:jc w:val="center"/>
      </w:pPr>
      <w:r w:rsidRPr="007634AA">
        <w:t>О ВНЕСЕНИИ ИЗМЕНЕНИЙ</w:t>
      </w:r>
    </w:p>
    <w:p w:rsidR="007634AA" w:rsidRPr="007634AA" w:rsidRDefault="007634AA">
      <w:pPr>
        <w:pStyle w:val="ConsPlusTitle"/>
        <w:jc w:val="center"/>
      </w:pPr>
      <w:r w:rsidRPr="007634AA">
        <w:t>В ПОСТАНОВЛЕНИЕ ПРАВИТЕЛЬСТВА РОССИЙСКОЙ ФЕДЕРАЦИИ</w:t>
      </w:r>
    </w:p>
    <w:p w:rsidR="007634AA" w:rsidRPr="007634AA" w:rsidRDefault="007634AA">
      <w:pPr>
        <w:pStyle w:val="ConsPlusTitle"/>
        <w:jc w:val="center"/>
      </w:pPr>
      <w:r w:rsidRPr="007634AA">
        <w:t>ОТ 17 ИЮЛЯ 2015 Г. N 719</w:t>
      </w: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  <w:r w:rsidRPr="007634AA">
        <w:t>Правительство Российской Федерации постановляет:</w:t>
      </w:r>
    </w:p>
    <w:p w:rsidR="007634AA" w:rsidRPr="007634AA" w:rsidRDefault="007634AA">
      <w:pPr>
        <w:pStyle w:val="ConsPlusNormal"/>
        <w:spacing w:before="220"/>
        <w:ind w:firstLine="540"/>
        <w:jc w:val="both"/>
      </w:pPr>
      <w:r w:rsidRPr="007634AA">
        <w:t>1. Утвердить прилагаемые изменения, которые вносятся в приложение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5180; 2017, N 21, ст. 3003; N 40, ст. 5843; 2020, N 12, ст. 1764; 2023, N 1, ст. 319).</w:t>
      </w:r>
    </w:p>
    <w:p w:rsidR="007634AA" w:rsidRPr="007634AA" w:rsidRDefault="007634AA">
      <w:pPr>
        <w:pStyle w:val="ConsPlusNormal"/>
        <w:spacing w:before="220"/>
        <w:ind w:firstLine="540"/>
        <w:jc w:val="both"/>
      </w:pPr>
      <w:r w:rsidRPr="007634AA">
        <w:t>2. Установить, что выданные Министерством промышленности и торговли Российской Федерации до даты вступления в силу настоящего постановления заключения о подтверждении производства промышленной продукции на территории Российской Федерации в отношении продукции, включенной в раздел VII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7634AA" w:rsidRPr="007634AA" w:rsidRDefault="007634AA">
      <w:pPr>
        <w:pStyle w:val="ConsPlusNormal"/>
        <w:spacing w:before="220"/>
        <w:ind w:firstLine="540"/>
        <w:jc w:val="both"/>
      </w:pPr>
      <w:r w:rsidRPr="007634AA">
        <w:t>3. Настоящее постановление вступает в силу со дня его официального опубликования.</w:t>
      </w: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jc w:val="right"/>
      </w:pPr>
      <w:r w:rsidRPr="007634AA">
        <w:t>Председатель Правительства</w:t>
      </w:r>
    </w:p>
    <w:p w:rsidR="007634AA" w:rsidRPr="007634AA" w:rsidRDefault="007634AA">
      <w:pPr>
        <w:pStyle w:val="ConsPlusNormal"/>
        <w:jc w:val="right"/>
      </w:pPr>
      <w:r w:rsidRPr="007634AA">
        <w:t>Российской Федерации</w:t>
      </w:r>
    </w:p>
    <w:p w:rsidR="007634AA" w:rsidRPr="007634AA" w:rsidRDefault="007634AA">
      <w:pPr>
        <w:pStyle w:val="ConsPlusNormal"/>
        <w:jc w:val="right"/>
      </w:pPr>
      <w:r w:rsidRPr="007634AA">
        <w:t>М.МИШУСТИН</w:t>
      </w: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jc w:val="right"/>
        <w:outlineLvl w:val="0"/>
      </w:pPr>
      <w:r w:rsidRPr="007634AA">
        <w:t>Утверждены</w:t>
      </w:r>
    </w:p>
    <w:p w:rsidR="007634AA" w:rsidRPr="007634AA" w:rsidRDefault="007634AA">
      <w:pPr>
        <w:pStyle w:val="ConsPlusNormal"/>
        <w:jc w:val="right"/>
      </w:pPr>
      <w:r w:rsidRPr="007634AA">
        <w:t>постановлением Правительства</w:t>
      </w:r>
    </w:p>
    <w:p w:rsidR="007634AA" w:rsidRPr="007634AA" w:rsidRDefault="007634AA">
      <w:pPr>
        <w:pStyle w:val="ConsPlusNormal"/>
        <w:jc w:val="right"/>
      </w:pPr>
      <w:r w:rsidRPr="007634AA">
        <w:t>Российской Федерации</w:t>
      </w:r>
    </w:p>
    <w:p w:rsidR="007634AA" w:rsidRPr="007634AA" w:rsidRDefault="007634AA">
      <w:pPr>
        <w:pStyle w:val="ConsPlusNormal"/>
        <w:jc w:val="right"/>
      </w:pPr>
      <w:r w:rsidRPr="007634AA">
        <w:t>от 6 мая 2024 г. N 590</w:t>
      </w: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Title"/>
        <w:jc w:val="center"/>
      </w:pPr>
      <w:bookmarkStart w:id="1" w:name="P28"/>
      <w:bookmarkEnd w:id="1"/>
      <w:r w:rsidRPr="007634AA">
        <w:t>ИЗМЕНЕНИЯ,</w:t>
      </w:r>
    </w:p>
    <w:p w:rsidR="007634AA" w:rsidRPr="007634AA" w:rsidRDefault="007634AA">
      <w:pPr>
        <w:pStyle w:val="ConsPlusTitle"/>
        <w:jc w:val="center"/>
      </w:pPr>
      <w:r w:rsidRPr="007634AA">
        <w:t>КОТОРЫЕ ВНОСЯТСЯ В ПРИЛОЖЕНИЕ К ПОСТАНОВЛЕНИЮ ПРАВИТЕЛЬСТВА</w:t>
      </w:r>
    </w:p>
    <w:p w:rsidR="007634AA" w:rsidRPr="007634AA" w:rsidRDefault="007634AA">
      <w:pPr>
        <w:pStyle w:val="ConsPlusTitle"/>
        <w:jc w:val="center"/>
      </w:pPr>
      <w:r w:rsidRPr="007634AA">
        <w:t>РОССИЙСКОЙ ФЕДЕРАЦИИ ОТ 17 ИЮЛЯ 2015 Г. N 719</w:t>
      </w:r>
    </w:p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  <w:r w:rsidRPr="007634AA">
        <w:t>1. В разделе VII:</w:t>
      </w:r>
    </w:p>
    <w:p w:rsidR="007634AA" w:rsidRPr="007634AA" w:rsidRDefault="007634AA">
      <w:pPr>
        <w:pStyle w:val="ConsPlusNormal"/>
        <w:spacing w:before="220"/>
        <w:ind w:firstLine="540"/>
        <w:jc w:val="both"/>
      </w:pPr>
      <w:r w:rsidRPr="007634AA">
        <w:t>а) позицию, классифицируемую кодом по ОК 034-2014 (КПЕС 2008) из 30.92.20.000, изложить в следующей редакции:</w:t>
      </w:r>
    </w:p>
    <w:p w:rsidR="007634AA" w:rsidRPr="007634AA" w:rsidRDefault="007634A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7634AA" w:rsidRPr="007634A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t>"из 30.92.20.000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</w:pPr>
            <w:r w:rsidRPr="007634AA">
              <w:t>Кресла-коляски с электроприводом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</w:pPr>
            <w:r w:rsidRPr="007634AA">
              <w:t xml:space="preserve">наличие у юридического лица - налогового резидента стран - членов Евразийского экономического союза прав на техническую документацию для производства </w:t>
            </w:r>
            <w:r w:rsidRPr="007634AA">
              <w:lastRenderedPageBreak/>
              <w:t>соответствующей продукции на срок не менее 5 лет (конструкторская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документации, а технологическая документация - в соответствии с требованиями Единой системы технологической документации) &lt;6&gt;;</w:t>
            </w:r>
          </w:p>
          <w:p w:rsidR="007634AA" w:rsidRPr="007634AA" w:rsidRDefault="007634AA">
            <w:pPr>
              <w:pStyle w:val="ConsPlusNormal"/>
            </w:pPr>
            <w:r w:rsidRPr="007634AA">
              <w:t>соблюдение процентной доли стоимости использованного иностранного сырья (материалов) при производстве товаров в 2024 году - не более 50 процентов, в 2025 году - не более 50 процентов, в 2026 году - не более 45 процентов, в 2027 году - не более 45 процентов, в 2028 году и далее - не более 40 процентов в цене конечной продукции;</w:t>
            </w:r>
          </w:p>
          <w:p w:rsidR="007634AA" w:rsidRPr="007634AA" w:rsidRDefault="007634AA">
            <w:pPr>
              <w:pStyle w:val="ConsPlusNormal"/>
            </w:pPr>
            <w:r w:rsidRPr="007634AA">
              <w:t>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- членов Евразийского экономического союза;</w:t>
            </w:r>
          </w:p>
          <w:p w:rsidR="007634AA" w:rsidRPr="007634AA" w:rsidRDefault="007634AA">
            <w:pPr>
              <w:pStyle w:val="ConsPlusNormal"/>
            </w:pPr>
            <w:r w:rsidRPr="007634AA">
              <w:t>использование составных частей изделия, произведенных на территориях стран - членов Евразийского экономического союза:</w:t>
            </w:r>
          </w:p>
          <w:p w:rsidR="007634AA" w:rsidRPr="007634AA" w:rsidRDefault="007634AA">
            <w:pPr>
              <w:pStyle w:val="ConsPlusNormal"/>
            </w:pPr>
            <w:r w:rsidRPr="007634AA">
              <w:t>опоры предплечья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опоры для стоп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колеса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пульт управления креслом - коляской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аккумуляторная батарея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моторы-редукторы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выполнение следующих технологических операций:</w:t>
            </w:r>
          </w:p>
          <w:p w:rsidR="007634AA" w:rsidRPr="007634AA" w:rsidRDefault="007634AA">
            <w:pPr>
              <w:pStyle w:val="ConsPlusNormal"/>
            </w:pPr>
            <w:r w:rsidRPr="007634AA">
              <w:t>осуществление раскроя или резки при изготовлении металлических деталей (4 балла);</w:t>
            </w:r>
          </w:p>
          <w:p w:rsidR="007634AA" w:rsidRPr="007634AA" w:rsidRDefault="007634AA">
            <w:pPr>
              <w:pStyle w:val="ConsPlusNormal"/>
            </w:pPr>
            <w:r w:rsidRPr="007634AA">
              <w:t>токарная или фрезерная обработка при изготовлении металлических деталей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осуществление сверления при изготовлении металлических деталей (2 балла);</w:t>
            </w:r>
          </w:p>
          <w:p w:rsidR="007634AA" w:rsidRPr="007634AA" w:rsidRDefault="007634AA">
            <w:pPr>
              <w:pStyle w:val="ConsPlusNormal"/>
            </w:pPr>
            <w:r w:rsidRPr="007634AA">
              <w:t>сварка несущей рамы и металлических узлов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покрытие металлических деталей (покраска)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изготовление кабелей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изготовление корпусов электроники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монтаж электронной компонентной базы на печатные платы (10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монтаж системы электрооборудования, прошивка микропрограмм, тестирование программного обеспечения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 xml:space="preserve">литье силиконовых изделий или литье </w:t>
            </w:r>
            <w:r w:rsidRPr="007634AA">
              <w:lastRenderedPageBreak/>
              <w:t>пенополиуретановых мягких элементов конструкции сидения и подножек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пошив элементов спинки сиденья, подушки, включая раскрой тканных и нетканых материалов, чехлов и аксессуаров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штамповка (литье) пластиковых деталей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сборка готового изделия (5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упаковка изделия (коробка из гофрированного картона, инструкция для пользователя, гарантийный талон и паспорт изделия) (2 балла)";</w:t>
            </w:r>
          </w:p>
        </w:tc>
      </w:tr>
    </w:tbl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  <w:r w:rsidRPr="007634AA">
        <w:t>б) позицию, классифицируемую кодом по ОК 034-2014 (КПЕС 2008) 20.59.52.140, изложить в следующей редакции:</w:t>
      </w:r>
    </w:p>
    <w:p w:rsidR="007634AA" w:rsidRPr="007634AA" w:rsidRDefault="007634A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2551"/>
        <w:gridCol w:w="4819"/>
      </w:tblGrid>
      <w:tr w:rsidR="007634AA" w:rsidRPr="007634A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t>"20.59.52.140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</w:pPr>
            <w:r w:rsidRPr="007634AA">
              <w:t>Среды готовые питательные для выращивания микроорганизмов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</w:pPr>
            <w:r w:rsidRPr="007634AA">
              <w:t>наличие у юридического лица - налогового резидента стран - членов Евразийского экономического союза прав на техническую документацию и конструкторскую документацию в объеме, достаточном для производства соответствующей продукции, на срок не менее 5 лет;</w:t>
            </w:r>
          </w:p>
          <w:p w:rsidR="007634AA" w:rsidRPr="007634AA" w:rsidRDefault="007634AA">
            <w:pPr>
              <w:pStyle w:val="ConsPlusNormal"/>
            </w:pPr>
            <w:r w:rsidRPr="007634AA">
              <w:t>наличие у производителя структурных подразделений и (или) аккредитованных лабораторий либо наличие договора оказания услуг с аккредитованными лабораториями, которые отвечают за проверку качества и безопасности произведенной продукции в течение гарантийного срока хранения;</w:t>
            </w:r>
          </w:p>
          <w:p w:rsidR="007634AA" w:rsidRPr="007634AA" w:rsidRDefault="007634AA">
            <w:pPr>
              <w:pStyle w:val="ConsPlusNormal"/>
            </w:pPr>
            <w:r w:rsidRPr="007634AA">
              <w:t>наличие оборудования на балансе производителя, позволяющего осуществлять операции технологического процесса по производству питательных сред, либо наличие договора аренды такого оборудования;</w:t>
            </w:r>
          </w:p>
          <w:p w:rsidR="007634AA" w:rsidRPr="007634AA" w:rsidRDefault="007634AA">
            <w:pPr>
              <w:pStyle w:val="ConsPlusNormal"/>
            </w:pPr>
            <w:r w:rsidRPr="007634AA">
              <w:t>осуществление на территории Российской Федерации следующих технологических операций:</w:t>
            </w:r>
          </w:p>
          <w:p w:rsidR="007634AA" w:rsidRPr="007634AA" w:rsidRDefault="007634AA">
            <w:pPr>
              <w:pStyle w:val="ConsPlusNormal"/>
            </w:pPr>
            <w:r w:rsidRPr="007634AA">
              <w:t>варка (30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разлив (расфасовка) (20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стерилизация (30 баллов);</w:t>
            </w:r>
          </w:p>
          <w:p w:rsidR="007634AA" w:rsidRPr="007634AA" w:rsidRDefault="007634AA">
            <w:pPr>
              <w:pStyle w:val="ConsPlusNormal"/>
            </w:pPr>
            <w:r w:rsidRPr="007634AA">
              <w:t>смешивание (20 баллов)".</w:t>
            </w:r>
          </w:p>
        </w:tc>
      </w:tr>
    </w:tbl>
    <w:p w:rsidR="007634AA" w:rsidRPr="007634AA" w:rsidRDefault="007634AA">
      <w:pPr>
        <w:pStyle w:val="ConsPlusNormal"/>
        <w:ind w:firstLine="540"/>
        <w:jc w:val="both"/>
      </w:pPr>
    </w:p>
    <w:p w:rsidR="007634AA" w:rsidRPr="007634AA" w:rsidRDefault="007634AA">
      <w:pPr>
        <w:pStyle w:val="ConsPlusNormal"/>
        <w:ind w:firstLine="540"/>
        <w:jc w:val="both"/>
      </w:pPr>
      <w:r w:rsidRPr="007634AA">
        <w:t>2. Примечание 7 после слов "Смолы полиуретановые прочие в первичных формах" - не менее 175 баллов;" дополнить абзацем следующего содержания:</w:t>
      </w:r>
    </w:p>
    <w:p w:rsidR="007634AA" w:rsidRPr="007634AA" w:rsidRDefault="007634AA">
      <w:pPr>
        <w:pStyle w:val="ConsPlusNormal"/>
        <w:spacing w:before="220"/>
        <w:ind w:firstLine="540"/>
        <w:jc w:val="both"/>
      </w:pPr>
      <w:r w:rsidRPr="007634AA">
        <w:t>"20.59.52.140 "Среды готовые питательные для выращивания микроорганизмов" - не менее 60 баллов;".</w:t>
      </w:r>
    </w:p>
    <w:p w:rsidR="007634AA" w:rsidRPr="007634AA" w:rsidRDefault="007634AA">
      <w:pPr>
        <w:pStyle w:val="ConsPlusNormal"/>
        <w:spacing w:before="220"/>
        <w:ind w:firstLine="540"/>
        <w:jc w:val="both"/>
      </w:pPr>
      <w:r w:rsidRPr="007634AA">
        <w:t>3. Примечание 28 после позиции, классифицируемой кодом по ОК 034-2014 (КПЕС 2008) из 22.29.29.190, дополнить позицией следующего содержания:</w:t>
      </w:r>
    </w:p>
    <w:p w:rsidR="007634AA" w:rsidRPr="007634AA" w:rsidRDefault="007634A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5"/>
        <w:gridCol w:w="2790"/>
        <w:gridCol w:w="1120"/>
        <w:gridCol w:w="1120"/>
        <w:gridCol w:w="1120"/>
        <w:gridCol w:w="1122"/>
      </w:tblGrid>
      <w:tr w:rsidR="007634AA" w:rsidRPr="007634AA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lastRenderedPageBreak/>
              <w:t>"из 30.92.20.000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</w:pPr>
            <w:r w:rsidRPr="007634AA">
              <w:t>Кресла-коляски с электроприводом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t>не менее 50 баллов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t>не менее 80 баллов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7634AA" w:rsidRPr="007634AA" w:rsidRDefault="007634AA">
            <w:pPr>
              <w:pStyle w:val="ConsPlusNormal"/>
              <w:jc w:val="center"/>
            </w:pPr>
            <w:r w:rsidRPr="007634AA">
              <w:t>не менее 100 баллов".</w:t>
            </w:r>
          </w:p>
        </w:tc>
      </w:tr>
    </w:tbl>
    <w:p w:rsidR="007634AA" w:rsidRPr="007634AA" w:rsidRDefault="007634AA">
      <w:pPr>
        <w:pStyle w:val="ConsPlusNormal"/>
        <w:jc w:val="both"/>
      </w:pPr>
    </w:p>
    <w:p w:rsidR="007634AA" w:rsidRPr="007634AA" w:rsidRDefault="007634AA">
      <w:pPr>
        <w:pStyle w:val="ConsPlusNormal"/>
        <w:jc w:val="both"/>
      </w:pPr>
    </w:p>
    <w:p w:rsidR="007634AA" w:rsidRPr="007634AA" w:rsidRDefault="007634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C41" w:rsidRPr="007634AA" w:rsidRDefault="007E3C41"/>
    <w:sectPr w:rsidR="007E3C41" w:rsidRPr="007634AA" w:rsidSect="00D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AA"/>
    <w:rsid w:val="007634AA"/>
    <w:rsid w:val="007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A89F-2DF3-46F9-A2BB-FAD09DD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4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34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34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2024-05-29T09:38:00Z</dcterms:created>
  <dcterms:modified xsi:type="dcterms:W3CDTF">2024-05-29T09:39:00Z</dcterms:modified>
</cp:coreProperties>
</file>